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80" w:before="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02c57"/>
          <w:sz w:val="40"/>
          <w:szCs w:val="40"/>
          <w:rtl w:val="0"/>
        </w:rPr>
        <w:t xml:space="preserve">SH공사 민간도심복합개발 프로젝트 리츠(REITs)</w:t>
        <w:br w:type="textWrapping"/>
        <w:t xml:space="preserve">재무적 투자자(FI) 참여 강점 분석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480" w:lineRule="auto"/>
        <w:rPr/>
      </w:pPr>
      <w:r w:rsidDel="00000000" w:rsidR="00000000" w:rsidRPr="00000000">
        <w:rPr>
          <w:rFonts w:ascii="Malgun Gothic" w:cs="Malgun Gothic" w:eastAsia="Malgun Gothic" w:hAnsi="Malgun Gothic"/>
          <w:i w:val="1"/>
          <w:iCs w:val="1"/>
          <w:color w:val="35a29f"/>
          <w:sz w:val="22"/>
          <w:szCs w:val="22"/>
          <w:rtl w:val="0"/>
        </w:rPr>
        <w:t xml:space="preserve">서울주택도시공사(SH) 공공출자자 참여에 따른 Risk-Adjusted Return 및 사업성 검토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400" w:lineRule="auto"/>
        <w:rPr/>
      </w:pPr>
      <w:r w:rsidDel="00000000" w:rsidR="00000000" w:rsidRPr="00000000">
        <w:rPr>
          <w:color w:val="35a29f"/>
          <w:rtl w:val="0"/>
        </w:rPr>
        <w:t xml:space="preserve">―――――――――――――――――――――――――――――――――――――――――――――――――――――――</w:t>
      </w: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center"/>
        <w:tblLayout w:type="fixed"/>
        <w:tblLook w:val="04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102c57" w:space="0" w:sz="24" w:val="single"/>
              <w:bottom w:color="000000" w:space="0" w:sz="0" w:val="nil"/>
              <w:right w:color="000000" w:space="0" w:sz="0" w:val="nil"/>
            </w:tcBorders>
            <w:shd w:fill="f4f6f8" w:val="clear"/>
          </w:tcPr>
          <w:p w:rsidR="00000000" w:rsidDel="00000000" w:rsidP="00000000" w:rsidRDefault="00000000" w:rsidRPr="00000000" w14:paraId="00000004">
            <w:pPr>
              <w:spacing w:after="160" w:before="160" w:lineRule="auto"/>
              <w:ind w:left="216" w:right="216" w:firstLine="0"/>
              <w:rPr/>
            </w:pPr>
            <w:r w:rsidDel="00000000" w:rsidR="00000000" w:rsidRPr="00000000">
              <w:rPr>
                <w:b w:val="1"/>
                <w:bCs w:val="1"/>
                <w:color w:val="102c57"/>
                <w:sz w:val="22"/>
                <w:szCs w:val="22"/>
                <w:rtl w:val="0"/>
              </w:rPr>
              <w:t xml:space="preserve">Executive Summary</w:t>
              <w:br w:type="textWrapping"/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본 보고서는 서울주택도시공사(SH공사)가 출자 및 참여하는 '민간도심복합개발 프로젝트 리츠(REITs)'에 재무적 투자자(FI: Financial Investor)로 참여할 경우 누릴 수 있는 구조적 강점을 분석합니다. SH공사의 공공 신용도와 행정 지원을 기반으로 사업 리스크를 대폭 낮추고, 주택도시기금 연계 및 공공 매입 확약 구도를 통해 안정적이고 우수한 위험조정수익률(Risk-adjusted Return)을 실현하는 것이 핵심 메리트입니다.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02c57"/>
          <w:sz w:val="28"/>
          <w:szCs w:val="28"/>
          <w:rtl w:val="0"/>
        </w:rPr>
        <w:t xml:space="preserve">1. 신용 보강 및 투자 안정성 극대화 (Credit Enhancement)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공공 지분 참여 효과: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SH공사가 Anchor Investor(공공출자자)로 참여함에 따라 프로젝트 전체의 대외 신용도 및 대주단 신뢰도가 획기적으로 상승합니다.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개발 리스크 차단: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공공기관의 철저한 사업성 검토, 투명한 사업 관리 및 모니터링 체계를 거치므로 민간 단독 추진 시 발생하는 시행사 부도, 도덕적 해이(Moral Hazard) 리스크가 최소화됩니다.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주택도시기금(HUG) 연계: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SH공사 참여 사업 구도는 주택도시기금 출자·융자 및 HUG(주택도시보증공사) 보증 승인 가능성을 대폭 높여, PF 대출 조달 리스크를 정교하게 제어합니다.</w:t>
      </w:r>
    </w:p>
    <w:p w:rsidR="00000000" w:rsidDel="00000000" w:rsidP="00000000" w:rsidRDefault="00000000" w:rsidRPr="00000000" w14:paraId="0000000A">
      <w:pPr>
        <w:keepNext w:val="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02c57"/>
          <w:sz w:val="28"/>
          <w:szCs w:val="28"/>
          <w:rtl w:val="0"/>
        </w:rPr>
        <w:t xml:space="preserve">2. 인·허가 가속화 및 용적률 특례를 통한 사업성 제고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통합 심의 및 기간 단축: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도심복합사업 특례와 SH공사의 행정적 공조를 활용해 건축·도시계획·교통·환경 영향평가 등 인허가 절차가 신속하게 처리되어 사업 기간 절감 효과를 창출합니다.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규제 완화 및 용적률 인센티브: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용도지역 상향, 잔여 부지 완화, 법정 상한 용적률 적용 등 강력한 인센티브가 제공되어 전체 분양/임대 가능 면적이 대폭 증가, FI의 회수 가치(Upside)가 극대화됩니다.</w:t>
      </w:r>
    </w:p>
    <w:p w:rsidR="00000000" w:rsidDel="00000000" w:rsidP="00000000" w:rsidRDefault="00000000" w:rsidRPr="00000000" w14:paraId="0000000D">
      <w:pPr>
        <w:keepNext w:val="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02c57"/>
          <w:sz w:val="28"/>
          <w:szCs w:val="28"/>
          <w:rtl w:val="0"/>
        </w:rPr>
        <w:t xml:space="preserve">3. 확실한 출구 전략 (Exit Strategy) 및 매입 확약 구조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공공 매입 확약(Off-take) 구도: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개발 후 준공되는 공공임대, 공공분양, 청년안심주택, 오피스 등 일정 물량에 대해 SH공사 또는 지자체의 매입 확약 체결이 가능합니다.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미분양/매각 리스크 차단: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FI 입장에서 투자 회수 단계의 가장 큰 불확실성인 '분양 미달' 및 '매각 지연' 리스크를 사전에 완전히 통제할 수 있는 안전장치가 제공됩니다.</w:t>
      </w:r>
    </w:p>
    <w:p w:rsidR="00000000" w:rsidDel="00000000" w:rsidP="00000000" w:rsidRDefault="00000000" w:rsidRPr="00000000" w14:paraId="00000010">
      <w:pPr>
        <w:keepNext w:val="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02c57"/>
          <w:sz w:val="28"/>
          <w:szCs w:val="28"/>
          <w:rtl w:val="0"/>
        </w:rPr>
        <w:t xml:space="preserve">4. 자금 조달 비용 절감 및 Equity 수익률(ROE) 향상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우수 조달 금리 확보: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공공 출자자 구조와 HUG 보증 획득을 통해 대주단으로부터 차입하는 타인자금(Senior/Mezzanine Loan)의 금리를 민간 개발 사업 대비 낮게 유지할 수 있습니다.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ROE/IRR 증대: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Low-cost 자금(기금 융자 및 저금리 PF) 비중이 높아짐에 따라 Leverage 효과가 극대화되어, FI가 투입한 지분(Equity) 대비 연간 배당 수익률 및 내부수익률(IRR)이 크게 향상됩니다.</w:t>
      </w:r>
    </w:p>
    <w:p w:rsidR="00000000" w:rsidDel="00000000" w:rsidP="00000000" w:rsidRDefault="00000000" w:rsidRPr="00000000" w14:paraId="00000013">
      <w:pPr>
        <w:keepNext w:val="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02c57"/>
          <w:sz w:val="28"/>
          <w:szCs w:val="28"/>
          <w:rtl w:val="0"/>
        </w:rPr>
        <w:t xml:space="preserve">5. ESG 투자 실적 달성 및 우수 거점 자산 확보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ESG 및 정책 금융 충족: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도심 내 주택 공급 확대, 노후 거점 정비 등 공공 목적에 기여하는 투자이므로, 금융기관의 ESG 투자 이행 및 정책 금융 가이드라인을 완벽히 충족합니다.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i w:val="0"/>
          <w:iCs w:val="0"/>
          <w:smallCaps w:val="0"/>
          <w:strike w:val="0"/>
          <w:color w:val="102c57"/>
          <w:sz w:val="21"/>
          <w:szCs w:val="21"/>
          <w:u w:val="none"/>
          <w:shd w:fill="auto" w:val="clear"/>
          <w:vertAlign w:val="baseline"/>
          <w:rtl w:val="0"/>
        </w:rPr>
        <w:t xml:space="preserve">핵심 도심지 자산 진입: </w:t>
      </w: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282828"/>
          <w:sz w:val="21"/>
          <w:szCs w:val="21"/>
          <w:u w:val="none"/>
          <w:shd w:fill="auto" w:val="clear"/>
          <w:vertAlign w:val="baseline"/>
          <w:rtl w:val="0"/>
        </w:rPr>
        <w:t xml:space="preserve">접근성이 뛰어난 서울 주요 역세권 및 도심 핵심 거점 프로젝트에 초기 개발 단계부터 안전하게 지분 참여할 수 있는 희소한 투자의 기회를 제공합니다.</w:t>
      </w:r>
    </w:p>
    <w:p w:rsidR="00000000" w:rsidDel="00000000" w:rsidP="00000000" w:rsidRDefault="00000000" w:rsidRPr="00000000" w14:paraId="00000016">
      <w:pPr>
        <w:spacing w:after="20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02c57"/>
          <w:sz w:val="28"/>
          <w:szCs w:val="28"/>
          <w:rtl w:val="0"/>
        </w:rPr>
        <w:t xml:space="preserve">6. 민간 단독 사업 vs SH공사 참여 리츠 사업 비교</w:t>
      </w: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center"/>
        <w:tblLayout w:type="fixed"/>
        <w:tblLook w:val="04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102c57" w:val="clear"/>
          </w:tcPr>
          <w:p w:rsidR="00000000" w:rsidDel="00000000" w:rsidP="00000000" w:rsidRDefault="00000000" w:rsidRPr="00000000" w14:paraId="00000018">
            <w:pPr>
              <w:spacing w:after="120" w:before="12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02c57" w:val="clear"/>
          </w:tcPr>
          <w:p w:rsidR="00000000" w:rsidDel="00000000" w:rsidP="00000000" w:rsidRDefault="00000000" w:rsidRPr="00000000" w14:paraId="00000019">
            <w:pPr>
              <w:spacing w:after="120" w:before="12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민간 단독 개발 사업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02c57" w:val="clear"/>
          </w:tcPr>
          <w:p w:rsidR="00000000" w:rsidDel="00000000" w:rsidP="00000000" w:rsidRDefault="00000000" w:rsidRPr="00000000" w14:paraId="0000001A">
            <w:pPr>
              <w:spacing w:after="120" w:before="12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SH공사 참여 도심복합 리츠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100" w:before="10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사업 신용도 및 안정성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시행사 신용 의존, PF 조달 불확실성 높음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SH공사 공공 신용 보강, HUG 보증 용이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  <w:shd w:fill="f4f6f8" w:val="clear"/>
          </w:tcPr>
          <w:p w:rsidR="00000000" w:rsidDel="00000000" w:rsidP="00000000" w:rsidRDefault="00000000" w:rsidRPr="00000000" w14:paraId="0000001E">
            <w:pPr>
              <w:spacing w:after="100" w:before="10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인·허가 및 사업 속도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  <w:shd w:fill="f4f6f8" w:val="clear"/>
          </w:tcPr>
          <w:p w:rsidR="00000000" w:rsidDel="00000000" w:rsidP="00000000" w:rsidRDefault="00000000" w:rsidRPr="00000000" w14:paraId="0000001F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지자체 협의 지연 및 높은 규제 리스크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  <w:shd w:fill="f4f6f8" w:val="clear"/>
          </w:tcPr>
          <w:p w:rsidR="00000000" w:rsidDel="00000000" w:rsidP="00000000" w:rsidRDefault="00000000" w:rsidRPr="00000000" w14:paraId="00000020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도심복합 특례 및 통합 심의로 신속 추진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100" w:before="10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분양 / Exit 리스크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시장 경기에 따른 미분양 리스크 전가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SH공사/지자체 매입 확약 구도로 Exit 확보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  <w:shd w:fill="f4f6f8" w:val="clear"/>
          </w:tcPr>
          <w:p w:rsidR="00000000" w:rsidDel="00000000" w:rsidP="00000000" w:rsidRDefault="00000000" w:rsidRPr="00000000" w14:paraId="00000024">
            <w:pPr>
              <w:spacing w:after="100" w:before="10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금융 조달 금리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  <w:shd w:fill="f4f6f8" w:val="clear"/>
          </w:tcPr>
          <w:p w:rsidR="00000000" w:rsidDel="00000000" w:rsidP="00000000" w:rsidRDefault="00000000" w:rsidRPr="00000000" w14:paraId="00000025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고금리 PF 및 대주단 위험 프리미엄 발생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  <w:shd w:fill="f4f6f8" w:val="clear"/>
          </w:tcPr>
          <w:p w:rsidR="00000000" w:rsidDel="00000000" w:rsidP="00000000" w:rsidRDefault="00000000" w:rsidRPr="00000000" w14:paraId="00000026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저금리 기금 융자 및 PF 금리 인하 효과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100" w:before="10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FI 위험조정수익률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High Risk - Volatile Return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cdcdc" w:space="0" w:sz="4" w:val="single"/>
              <w:left w:color="dcdcdc" w:space="0" w:sz="4" w:val="single"/>
              <w:bottom w:color="dcdcdc" w:space="0" w:sz="4" w:val="single"/>
              <w:right w:color="dcdcdc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100" w:before="100" w:lineRule="auto"/>
              <w:jc w:val="left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Low/Moderate Risk - High ROE/IRR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Malgun Gothic"/>
  <w:font w:name="Calibri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algun Gothic" w:cs="Malgun Gothic" w:eastAsia="Malgun Gothic" w:hAnsi="Malgun Gothic"/>
        <w:color w:val="282828"/>
        <w:sz w:val="21"/>
        <w:szCs w:val="21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